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5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21"/>
        <w:ind w:left="151"/>
      </w:pPr>
      <w:r>
        <w:rPr>
          <w:spacing w:val="-1"/>
        </w:rPr>
        <w:t>(код</w:t>
      </w:r>
      <w:r>
        <w:rPr>
          <w:spacing w:val="-5"/>
        </w:rPr>
        <w:t> </w:t>
      </w:r>
      <w:r>
        <w:rPr>
          <w:spacing w:val="-1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ФІНАНСУВАННЯ</w:t>
      </w:r>
    </w:p>
    <w:p>
      <w:pPr>
        <w:spacing w:before="31"/>
        <w:ind w:left="140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67" w:lineRule="exact" w:before="78"/>
        <w:ind w:left="151"/>
      </w:pPr>
      <w:r>
        <w:rPr/>
        <w:br w:type="column"/>
      </w:r>
      <w:r>
        <w:rPr>
          <w:spacing w:val="-1"/>
        </w:rPr>
        <w:t>Додаток</w:t>
      </w:r>
      <w:r>
        <w:rPr>
          <w:spacing w:val="-3"/>
        </w:rPr>
        <w:t> </w:t>
      </w:r>
      <w:r>
        <w:rPr/>
        <w:t>2</w:t>
      </w:r>
    </w:p>
    <w:p>
      <w:pPr>
        <w:tabs>
          <w:tab w:pos="817" w:val="left" w:leader="none"/>
          <w:tab w:pos="1117" w:val="left" w:leader="none"/>
          <w:tab w:pos="2245" w:val="left" w:leader="none"/>
          <w:tab w:pos="2710" w:val="left" w:leader="none"/>
        </w:tabs>
        <w:spacing w:line="276" w:lineRule="auto" w:before="0"/>
        <w:ind w:left="151" w:right="168" w:firstLine="0"/>
        <w:jc w:val="left"/>
        <w:rPr>
          <w:sz w:val="12"/>
        </w:rPr>
      </w:pPr>
      <w:r>
        <w:rPr>
          <w:w w:val="105"/>
          <w:sz w:val="12"/>
        </w:rPr>
        <w:t>до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рішення</w:t>
      </w:r>
      <w:r>
        <w:rPr>
          <w:w w:val="105"/>
          <w:sz w:val="12"/>
          <w:u w:val="single"/>
        </w:rPr>
        <w:tab/>
        <w:tab/>
      </w:r>
      <w:r>
        <w:rPr>
          <w:spacing w:val="-1"/>
          <w:w w:val="105"/>
          <w:sz w:val="12"/>
        </w:rPr>
        <w:t>сесії</w:t>
      </w:r>
      <w:r>
        <w:rPr>
          <w:w w:val="105"/>
          <w:sz w:val="12"/>
        </w:rPr>
        <w:t> </w:t>
      </w:r>
      <w:r>
        <w:rPr>
          <w:spacing w:val="-1"/>
          <w:w w:val="105"/>
          <w:sz w:val="12"/>
        </w:rPr>
        <w:t>Мелітопольської міської ради </w:t>
      </w:r>
      <w:r>
        <w:rPr>
          <w:w w:val="105"/>
          <w:sz w:val="12"/>
        </w:rPr>
        <w:t>Запорізької</w:t>
      </w:r>
      <w:r>
        <w:rPr>
          <w:spacing w:val="-29"/>
          <w:w w:val="105"/>
          <w:sz w:val="12"/>
        </w:rPr>
        <w:t> </w:t>
      </w:r>
      <w:r>
        <w:rPr>
          <w:w w:val="105"/>
          <w:sz w:val="12"/>
        </w:rPr>
        <w:t>області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скликання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від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№</w:t>
      </w:r>
      <w:r>
        <w:rPr>
          <w:w w:val="105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3"/>
        <w:ind w:left="0" w:right="149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20" w:bottom="280" w:left="900" w:right="620"/>
          <w:cols w:num="3" w:equalWidth="0">
            <w:col w:w="1119" w:space="2911"/>
            <w:col w:w="2571" w:space="304"/>
            <w:col w:w="3815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902"/>
        <w:gridCol w:w="1156"/>
        <w:gridCol w:w="1123"/>
        <w:gridCol w:w="1200"/>
        <w:gridCol w:w="1248"/>
      </w:tblGrid>
      <w:tr>
        <w:trPr>
          <w:trHeight w:val="177" w:hRule="atLeast"/>
        </w:trPr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54"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</w:tc>
        <w:tc>
          <w:tcPr>
            <w:tcW w:w="4902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5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Найменування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згідно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Класифікацією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фінансування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бюджету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61" w:lineRule="auto" w:before="56"/>
              <w:ind w:left="396" w:right="177" w:hanging="18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line="157" w:lineRule="exact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Спеціальний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</w:tr>
      <w:tr>
        <w:trPr>
          <w:trHeight w:val="292" w:hRule="atLeast"/>
        </w:trPr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66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7"/>
              <w:ind w:left="27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1"/>
              <w:ind w:left="27"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902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6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80.823.405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-80.738.522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161.561.927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161.441.927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36.418.805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44.404.600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77"/>
              <w:jc w:val="right"/>
              <w:rPr>
                <w:sz w:val="16"/>
              </w:rPr>
            </w:pPr>
            <w:r>
              <w:rPr>
                <w:sz w:val="16"/>
              </w:rPr>
              <w:t>39.455.600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53"/>
              <w:jc w:val="right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1.520.226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991.143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40" w:lineRule="auto" w:before="100"/>
              <w:ind w:right="143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100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-120.194.122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0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120.194.122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120.194.122</w:t>
            </w:r>
          </w:p>
        </w:tc>
      </w:tr>
      <w:tr>
        <w:trPr>
          <w:trHeight w:val="187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Позики,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надані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94.773.405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-80.738.522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175.511.927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175.391.927</w:t>
            </w:r>
          </w:p>
        </w:tc>
      </w:tr>
      <w:tr>
        <w:trPr>
          <w:trHeight w:val="302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5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50.368.805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50.368.805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50.368.805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65.000.000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-29.511.195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-29.511.195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-29.511.195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00"/>
              <w:jc w:val="right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-28.581.195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44.404.600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-80.738.522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125.143.122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125.023.122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44.404.600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62"/>
              <w:jc w:val="right"/>
              <w:rPr>
                <w:sz w:val="16"/>
              </w:rPr>
            </w:pPr>
            <w:r>
              <w:rPr>
                <w:sz w:val="16"/>
              </w:rPr>
              <w:t>-80.738.522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125.143.122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125.023.122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left="0"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1.520.226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991.143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43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-120.194.122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0" w:right="186"/>
              <w:jc w:val="right"/>
              <w:rPr>
                <w:sz w:val="16"/>
              </w:rPr>
            </w:pPr>
            <w:r>
              <w:rPr>
                <w:sz w:val="16"/>
              </w:rPr>
              <w:t>120.194.122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120.194.122</w:t>
            </w:r>
          </w:p>
        </w:tc>
      </w:tr>
      <w:tr>
        <w:trPr>
          <w:trHeight w:val="278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94.773.405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0"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-80.738.522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0"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175.511.927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175.391.927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Начальник</w:t>
      </w:r>
      <w:r>
        <w:rPr>
          <w:spacing w:val="-7"/>
        </w:rPr>
        <w:t> </w:t>
      </w:r>
      <w:r>
        <w:rPr/>
        <w:t>фінансового</w:t>
      </w:r>
      <w:r>
        <w:rPr>
          <w:spacing w:val="-9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Яна</w:t>
      </w:r>
      <w:r>
        <w:rPr>
          <w:spacing w:val="-4"/>
        </w:rPr>
        <w:t> </w:t>
      </w:r>
      <w:r>
        <w:rPr/>
        <w:t>ЧАБАН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Секретар</w:t>
      </w:r>
      <w:r>
        <w:rPr>
          <w:spacing w:val="-8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Роман</w:t>
      </w:r>
      <w:r>
        <w:rPr>
          <w:spacing w:val="-3"/>
        </w:rPr>
        <w:t> </w:t>
      </w:r>
      <w:r>
        <w:rPr/>
        <w:t>РОМАНОВ</w:t>
      </w:r>
    </w:p>
    <w:sectPr>
      <w:type w:val="continuous"/>
      <w:pgSz w:w="12240" w:h="1584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ind w:left="172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2021-09-15T04:24:30Z</dcterms:created>
  <dcterms:modified xsi:type="dcterms:W3CDTF">2021-09-15T04:24:30Z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